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5.4.0 -->
  <w:body>
    <w:p w:rsidR="00A77B3E">
      <w:pPr>
        <w:spacing w:line="240" w:lineRule="auto"/>
        <w:ind w:left="0"/>
        <w:jc w:val="center"/>
        <w:rPr>
          <w:rFonts w:ascii="Times New Roman" w:eastAsia="Times New Roman" w:hAnsi="Times New Roman" w:cs="Times New Roman"/>
          <w:b/>
          <w:caps/>
          <w:sz w:val="22"/>
        </w:rPr>
      </w:pPr>
      <w:r>
        <w:rPr>
          <w:rFonts w:ascii="Times New Roman" w:eastAsia="Times New Roman" w:hAnsi="Times New Roman" w:cs="Times New Roman"/>
          <w:b/>
          <w:caps/>
          <w:sz w:val="22"/>
        </w:rPr>
        <w:t>Zarządzenie</w:t>
      </w:r>
      <w:r>
        <w:rPr>
          <w:rFonts w:ascii="Times New Roman" w:eastAsia="Times New Roman" w:hAnsi="Times New Roman" w:cs="Times New Roman"/>
          <w:b/>
          <w:caps/>
          <w:sz w:val="22"/>
        </w:rPr>
        <w:t xml:space="preserve"> Nr 137.2025</w:t>
      </w:r>
      <w:r>
        <w:rPr>
          <w:rFonts w:ascii="Times New Roman" w:eastAsia="Times New Roman" w:hAnsi="Times New Roman" w:cs="Times New Roman"/>
          <w:b/>
          <w:caps/>
          <w:sz w:val="22"/>
        </w:rPr>
        <w:br/>
      </w:r>
      <w:r>
        <w:rPr>
          <w:rFonts w:ascii="Times New Roman" w:eastAsia="Times New Roman" w:hAnsi="Times New Roman" w:cs="Times New Roman"/>
          <w:b/>
          <w:caps/>
          <w:sz w:val="22"/>
        </w:rPr>
        <w:t>Wójta Gminy Grębocice</w:t>
      </w:r>
    </w:p>
    <w:p w:rsidR="00A77B3E">
      <w:pPr>
        <w:spacing w:before="280" w:after="280" w:line="240" w:lineRule="auto"/>
        <w:ind w:left="0"/>
        <w:jc w:val="center"/>
        <w:rPr>
          <w:rFonts w:ascii="Times New Roman" w:eastAsia="Times New Roman" w:hAnsi="Times New Roman" w:cs="Times New Roman"/>
          <w:b/>
          <w:caps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z dnia 30 maja 2025 r.</w:t>
      </w:r>
    </w:p>
    <w:p w:rsidR="00A77B3E">
      <w:pPr>
        <w:keepNext/>
        <w:spacing w:before="0" w:after="480" w:line="240" w:lineRule="auto"/>
        <w:ind w:left="0" w:right="0" w:firstLine="0"/>
        <w:jc w:val="center"/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</w:pPr>
      <w:r>
        <w:rPr>
          <w:rFonts w:ascii="Times New Roman" w:eastAsia="Times New Roman" w:hAnsi="Times New Roman" w:cs="Times New Roman"/>
          <w:b/>
          <w:caps w:val="0"/>
          <w:sz w:val="22"/>
        </w:rPr>
        <w:t>w sprawie ogłoszenia wykazu nieruchomości przeznaczonych do zbycia w trybie bezprzetargowym</w:t>
      </w:r>
    </w:p>
    <w:p w:rsidR="00A77B3E">
      <w:pPr>
        <w:keepNext w:val="0"/>
        <w:keepLines/>
        <w:spacing w:before="120" w:after="120" w:line="240" w:lineRule="auto"/>
        <w:ind w:left="0" w:right="0" w:firstLine="227"/>
        <w:jc w:val="both"/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</w:pP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Na podstawie art.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 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30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 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ust.1 ustawy z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 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dnia 8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 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marca 1990r. o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 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samorządzie gminnym (Dz. U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 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z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 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2024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 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r. poz.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 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1465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 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ze zm.) oraz w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 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wykonaniu Uchwały Nr LII/239/2017 Rady Gminy Grębocice z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 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dnia 20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 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grudnia 2017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 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r. w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 </w:t>
      </w:r>
      <w:r>
        <w:rPr>
          <w:rFonts w:ascii="Times New Roman" w:eastAsia="Times New Roman" w:hAnsi="Times New Roman" w:cs="Times New Roman"/>
          <w:b w:val="0"/>
          <w:caps w:val="0"/>
          <w:strike w:val="0"/>
          <w:color w:val="auto"/>
          <w:sz w:val="22"/>
          <w:u w:val="none"/>
        </w:rPr>
        <w:t>sprawie zasad gospodarowania nieruchomościami stanowiącymi własność Gminy Grębocice, zarządzam co następuje :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</w:pPr>
      <w:r>
        <w:rPr>
          <w:rFonts w:ascii="Times New Roman" w:eastAsia="Times New Roman" w:hAnsi="Times New Roman" w:cs="Times New Roman"/>
          <w:b/>
          <w:sz w:val="22"/>
        </w:rPr>
        <w:t>§ 1. </w:t>
      </w:r>
      <w:r>
        <w:rPr>
          <w:rFonts w:ascii="Times New Roman" w:eastAsia="Times New Roman" w:hAnsi="Times New Roman" w:cs="Times New Roman"/>
          <w:sz w:val="22"/>
        </w:rPr>
        <w:t>1. 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auto"/>
          <w:sz w:val="22"/>
          <w:u w:val="none"/>
          <w:vertAlign w:val="baseline"/>
        </w:rPr>
        <w:t>Przeznaczyć do sprzedaży nieruchomość gruntową, wymienioną w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auto"/>
          <w:sz w:val="22"/>
          <w:u w:val="none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auto"/>
          <w:sz w:val="22"/>
          <w:u w:val="none"/>
          <w:vertAlign w:val="baseline"/>
        </w:rPr>
        <w:t>wykazie stanowiącym załącznik nr 1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auto"/>
          <w:sz w:val="22"/>
          <w:u w:val="none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auto"/>
          <w:sz w:val="22"/>
          <w:u w:val="none"/>
          <w:vertAlign w:val="baseline"/>
        </w:rPr>
        <w:t>do niniejszego zarządzenia, oznaczoną w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auto"/>
          <w:sz w:val="22"/>
          <w:u w:val="none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auto"/>
          <w:sz w:val="22"/>
          <w:u w:val="none"/>
          <w:vertAlign w:val="baseline"/>
        </w:rPr>
        <w:t>ewidencji gruntów jako działka nr 678/22 w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auto"/>
          <w:sz w:val="22"/>
          <w:u w:val="none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auto"/>
          <w:sz w:val="22"/>
          <w:u w:val="none"/>
          <w:vertAlign w:val="baseline"/>
        </w:rPr>
        <w:t>obrębie Krzydłowice o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auto"/>
          <w:sz w:val="22"/>
          <w:u w:val="none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auto"/>
          <w:sz w:val="22"/>
          <w:u w:val="none"/>
          <w:vertAlign w:val="baseline"/>
        </w:rPr>
        <w:t>pow. 0,0019 ha.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</w:pPr>
      <w:r>
        <w:rPr>
          <w:rFonts w:ascii="Times New Roman" w:eastAsia="Times New Roman" w:hAnsi="Times New Roman" w:cs="Times New Roman"/>
          <w:sz w:val="22"/>
        </w:rPr>
        <w:t>2. 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Zbycie działki wymienionej w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ust.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1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nastąpi w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trybie bezprzetargowym w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celu poprawy warunków zagospodarowania nieruchomości przyległej, oznaczonej jako działka nr 678/9, obręb Krzydłowice.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</w:pPr>
      <w:r>
        <w:rPr>
          <w:rFonts w:ascii="Times New Roman" w:eastAsia="Times New Roman" w:hAnsi="Times New Roman" w:cs="Times New Roman"/>
          <w:b/>
          <w:sz w:val="22"/>
        </w:rPr>
        <w:t>§ 2.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Wykaz o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którym mowa w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§1 ust.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1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stanowi integralną część zarządzenia i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podlega wywieszeniu na okres 21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dni w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siedzibie Urzędu Gminy Grębocice a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ponadto informacje o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wywieszeniu tego wykazu podaje się do publicznej wiadomości przez ogłoszenie w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prasie lokalnej oraz wywieszenie na tablicy  ogłoszeń sołectwa Krzydłowice, a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także na stronie internetowej Urzędu Gminy i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BIP-ie.</w:t>
      </w:r>
    </w:p>
    <w:p w:rsidR="00A77B3E">
      <w:pPr>
        <w:keepNext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</w:pPr>
      <w:r>
        <w:rPr>
          <w:rFonts w:ascii="Times New Roman" w:eastAsia="Times New Roman" w:hAnsi="Times New Roman" w:cs="Times New Roman"/>
          <w:b/>
          <w:sz w:val="22"/>
        </w:rPr>
        <w:t>§ 3.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Zarządzenie wchodzi w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życie z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dniem podpisania.</w:t>
      </w:r>
    </w:p>
    <w:p w:rsidR="00A77B3E">
      <w:pPr>
        <w:keepNext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</w:pPr>
    </w:p>
    <w:p w:rsidR="00A77B3E">
      <w:pPr>
        <w:keepNext/>
        <w:spacing w:before="0" w:after="0"/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</w:pPr>
      <w:r>
        <w:rPr>
          <w:b w:val="0"/>
          <w:i w:val="0"/>
          <w:color w:val="000000"/>
          <w:u w:val="none"/>
          <w:vertAlign w:val="baseline"/>
        </w:rPr>
        <w:t> </w:t>
      </w:r>
    </w:p>
    <w:tbl>
      <w:tblPr>
        <w:tblW w:w="5000" w:type="pct"/>
        <w:tblCellMar>
          <w:top w:w="0" w:type="dxa"/>
          <w:left w:w="0" w:type="dxa"/>
          <w:bottom w:w="0" w:type="dxa"/>
          <w:right w:w="0" w:type="dxa"/>
        </w:tblCellMar>
      </w:tblPr>
      <w:tblGrid>
        <w:gridCol w:w="4933"/>
        <w:gridCol w:w="4933"/>
      </w:tblGrid>
      <w:tr>
        <w:tblPrEx>
          <w:tblW w:w="5000" w:type="pct"/>
        </w:tblPrEx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jc w:val="left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</w:p>
        </w:tc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spacing w:before="560" w:after="560"/>
              <w:ind w:left="1134" w:right="1134" w:firstLine="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Wójt Gminy Grębocice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br/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br/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br/>
            </w:r>
            <w:r>
              <w:rPr>
                <w:b/>
                <w:i w:val="0"/>
              </w:rPr>
              <w:t>Roman Jabłoński</w:t>
            </w:r>
          </w:p>
        </w:tc>
      </w:tr>
    </w:tbl>
    <w:p w:rsidR="00A77B3E">
      <w:pPr>
        <w:keepNext/>
        <w:spacing w:before="0" w:after="0"/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sectPr>
          <w:footerReference w:type="default" r:id="rId4"/>
          <w:endnotePr>
            <w:numFmt w:val="decimal"/>
          </w:endnotePr>
          <w:pgSz w:w="11906" w:h="16838"/>
          <w:pgMar w:top="992" w:right="1020" w:bottom="992" w:left="1020" w:header="708" w:footer="708" w:gutter="0"/>
          <w:cols w:space="708"/>
          <w:docGrid w:linePitch="360"/>
        </w:sectPr>
      </w:pPr>
    </w:p>
    <w:p w:rsidR="00A77B3E">
      <w:pPr>
        <w:keepNext/>
        <w:spacing w:before="120" w:after="120" w:line="360" w:lineRule="auto"/>
        <w:ind w:left="10596" w:right="0" w:firstLine="0"/>
        <w:jc w:val="left"/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fldChar w:fldCharType="begin"/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fldChar w:fldCharType="separate"/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fldChar w:fldCharType="end"/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Załącznik do zarządzenia Nr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137.2025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br/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Wójta Gminy Grębocice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br/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z dnia 30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maja 2025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r.</w:t>
      </w:r>
    </w:p>
    <w:p w:rsidR="00A77B3E">
      <w:pPr>
        <w:keepNext/>
        <w:spacing w:before="0" w:after="480" w:line="240" w:lineRule="auto"/>
        <w:ind w:left="0" w:right="0" w:firstLine="0"/>
        <w:jc w:val="center"/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</w:pPr>
      <w:r>
        <w:rPr>
          <w:rFonts w:ascii="Times New Roman" w:eastAsia="Times New Roman" w:hAnsi="Times New Roman" w:cs="Times New Roman"/>
          <w:b/>
          <w:i w:val="0"/>
          <w:caps w:val="0"/>
          <w:strike w:val="0"/>
          <w:color w:val="000000"/>
          <w:sz w:val="22"/>
          <w:u w:val="none" w:color="000000"/>
          <w:vertAlign w:val="baseline"/>
        </w:rPr>
        <w:t>WYKAZ NIERUCHOMOŚCI</w:t>
      </w:r>
    </w:p>
    <w:p w:rsidR="00A77B3E">
      <w:pPr>
        <w:keepNext w:val="0"/>
        <w:keepLines w:val="0"/>
        <w:spacing w:before="120" w:after="120" w:line="240" w:lineRule="auto"/>
        <w:ind w:left="283" w:right="0" w:firstLine="227"/>
        <w:jc w:val="both"/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Wójt Gminy Grębocice podaje do publicznej wiadomości wykaz nieruchomości przeznaczonych do zbycia w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trybie bezprzetargowym zgodnie z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art.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37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ust.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2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pkt.6 ustawy o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gospodarce nieruchomościami (Dz.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U. z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2024r., poz.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1145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ze zm. ). Wykaz podlega wywieszeniu na tablicy ogłoszeń Urzędu Gminy, sołectwa Krzydłowice, na stronie internetowej, w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BIP-ie oraz w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prasie lokalnej w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okresie od 30.05.2025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r. do 20.06.2025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 </w:t>
      </w:r>
      <w:r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  <w:t>r.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658"/>
        <w:gridCol w:w="1496"/>
        <w:gridCol w:w="1188"/>
        <w:gridCol w:w="1"/>
        <w:gridCol w:w="991"/>
        <w:gridCol w:w="1"/>
        <w:gridCol w:w="1846"/>
        <w:gridCol w:w="1"/>
        <w:gridCol w:w="1829"/>
        <w:gridCol w:w="1"/>
        <w:gridCol w:w="1948"/>
        <w:gridCol w:w="1"/>
        <w:gridCol w:w="1735"/>
        <w:gridCol w:w="1"/>
        <w:gridCol w:w="1786"/>
        <w:gridCol w:w="1"/>
        <w:gridCol w:w="1530"/>
      </w:tblGrid>
      <w:tr>
        <w:tblPrEx>
          <w:tblW w:w="5000" w:type="pct"/>
          <w:tblLayout w:type="fixed"/>
        </w:tblPrEx>
        <w:trPr>
          <w:trHeight w:val="798"/>
        </w:trPr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L.p.</w:t>
            </w:r>
          </w:p>
        </w:tc>
        <w:tc>
          <w:tcPr>
            <w:tcW w:w="4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Numery ewidencyjne</w:t>
            </w:r>
          </w:p>
        </w:tc>
        <w:tc>
          <w:tcPr>
            <w:tcW w:w="17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Pow. w ha i użytki</w:t>
            </w:r>
          </w:p>
        </w:tc>
        <w:tc>
          <w:tcPr>
            <w:tcW w:w="32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Położenie i opis</w:t>
            </w:r>
          </w:p>
        </w:tc>
        <w:tc>
          <w:tcPr>
            <w:tcW w:w="32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Teren w planie zagospod. przestrzen.</w:t>
            </w:r>
          </w:p>
        </w:tc>
        <w:tc>
          <w:tcPr>
            <w:tcW w:w="34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Wartość w zł netto</w:t>
            </w:r>
          </w:p>
        </w:tc>
        <w:tc>
          <w:tcPr>
            <w:tcW w:w="30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Łączna wartość brutto w zł</w:t>
            </w:r>
          </w:p>
        </w:tc>
        <w:tc>
          <w:tcPr>
            <w:tcW w:w="31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 xml:space="preserve">Forma </w:t>
            </w:r>
          </w:p>
          <w:p>
            <w:pPr>
              <w:jc w:val="center"/>
            </w:pPr>
            <w:r>
              <w:rPr>
                <w:sz w:val="20"/>
              </w:rPr>
              <w:t xml:space="preserve">Zbycia </w:t>
            </w:r>
          </w:p>
        </w:tc>
        <w:tc>
          <w:tcPr>
            <w:tcW w:w="26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Termin do złożenia wniosku na podst. art. 34 ust. 1 pkt.1 i pkt.2</w:t>
            </w:r>
          </w:p>
        </w:tc>
      </w:tr>
      <w:tr>
        <w:tblPrEx>
          <w:tblW w:w="5000" w:type="pct"/>
          <w:tblLayout w:type="fixed"/>
        </w:tblPrEx>
        <w:trPr>
          <w:trHeight w:val="253"/>
        </w:trPr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</w:p>
        </w:tc>
        <w:tc>
          <w:tcPr>
            <w:tcW w:w="26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obręb</w:t>
            </w:r>
          </w:p>
        </w:tc>
        <w:tc>
          <w:tcPr>
            <w:tcW w:w="208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dz. nr.</w:t>
            </w:r>
          </w:p>
        </w:tc>
        <w:tc>
          <w:tcPr>
            <w:tcW w:w="1740" w:type="dxa"/>
            <w:gridSpan w:val="2"/>
            <w:vMerge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</w:p>
        </w:tc>
        <w:tc>
          <w:tcPr>
            <w:tcW w:w="3240" w:type="dxa"/>
            <w:gridSpan w:val="2"/>
            <w:vMerge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</w:p>
        </w:tc>
        <w:tc>
          <w:tcPr>
            <w:tcW w:w="3210" w:type="dxa"/>
            <w:gridSpan w:val="2"/>
            <w:vMerge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</w:p>
        </w:tc>
        <w:tc>
          <w:tcPr>
            <w:tcW w:w="3045" w:type="dxa"/>
            <w:gridSpan w:val="2"/>
            <w:vMerge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</w:p>
        </w:tc>
        <w:tc>
          <w:tcPr>
            <w:tcW w:w="3135" w:type="dxa"/>
            <w:gridSpan w:val="2"/>
            <w:vMerge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</w:p>
        </w:tc>
        <w:tc>
          <w:tcPr>
            <w:tcW w:w="2685" w:type="dxa"/>
            <w:gridSpan w:val="2"/>
            <w:vMerge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</w:p>
        </w:tc>
      </w:tr>
      <w:tr>
        <w:tblPrEx>
          <w:tblW w:w="5000" w:type="pct"/>
          <w:tblLayout w:type="fixed"/>
        </w:tblPrEx>
        <w:trPr>
          <w:trHeight w:val="253"/>
        </w:trPr>
        <w:tc>
          <w:tcPr>
            <w:tcW w:w="115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6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08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7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32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321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342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3045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3135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2685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10</w:t>
            </w:r>
          </w:p>
        </w:tc>
      </w:tr>
      <w:tr>
        <w:tblPrEx>
          <w:tblW w:w="5000" w:type="pct"/>
          <w:tblLayout w:type="fixed"/>
        </w:tblPrEx>
        <w:trPr>
          <w:trHeight w:val="253"/>
        </w:trPr>
        <w:tc>
          <w:tcPr>
            <w:tcW w:w="115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6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Krzydłowice</w:t>
            </w:r>
          </w:p>
        </w:tc>
        <w:tc>
          <w:tcPr>
            <w:tcW w:w="208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678/22</w:t>
            </w:r>
          </w:p>
        </w:tc>
        <w:tc>
          <w:tcPr>
            <w:tcW w:w="17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0,0019</w:t>
            </w:r>
          </w:p>
          <w:p>
            <w:pPr>
              <w:jc w:val="center"/>
            </w:pPr>
            <w:r>
              <w:rPr>
                <w:sz w:val="20"/>
              </w:rPr>
              <w:t>(dr)</w:t>
            </w:r>
          </w:p>
        </w:tc>
        <w:tc>
          <w:tcPr>
            <w:tcW w:w="32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Działka gruntowa zabudowana gankiem budynku mieszkalnego z sąsiedniej działki</w:t>
            </w:r>
          </w:p>
        </w:tc>
        <w:tc>
          <w:tcPr>
            <w:tcW w:w="321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Tereny dla zabudowy mieszkaniowej wielorodzinnej z towarzyszącymi jej usługami</w:t>
            </w:r>
          </w:p>
        </w:tc>
        <w:tc>
          <w:tcPr>
            <w:tcW w:w="342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900,00</w:t>
            </w:r>
          </w:p>
          <w:p/>
          <w:p>
            <w:pPr>
              <w:jc w:val="center"/>
            </w:pPr>
            <w:r>
              <w:rPr>
                <w:sz w:val="20"/>
              </w:rPr>
              <w:t>(+ 23% podatek VAT w kwocie 207,00 zł)</w:t>
            </w:r>
          </w:p>
        </w:tc>
        <w:tc>
          <w:tcPr>
            <w:tcW w:w="3045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>1 107,00</w:t>
            </w:r>
          </w:p>
        </w:tc>
        <w:tc>
          <w:tcPr>
            <w:tcW w:w="3135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 xml:space="preserve">Tryb bezprzetargowy </w:t>
            </w:r>
          </w:p>
        </w:tc>
        <w:tc>
          <w:tcPr>
            <w:tcW w:w="2685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top"/>
            <w:hideMark/>
          </w:tcPr>
          <w:p w:rsidR="00A77B3E">
            <w:pPr>
              <w:spacing w:before="0" w:after="0"/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trike w:val="0"/>
                <w:color w:val="000000"/>
                <w:sz w:val="22"/>
                <w:u w:val="none" w:color="000000"/>
                <w:vertAlign w:val="baseline"/>
              </w:rPr>
            </w:pPr>
            <w:r>
              <w:rPr>
                <w:sz w:val="20"/>
              </w:rPr>
              <w:t xml:space="preserve">do </w:t>
            </w:r>
          </w:p>
          <w:p/>
          <w:p>
            <w:pPr>
              <w:jc w:val="center"/>
            </w:pPr>
            <w:r>
              <w:rPr>
                <w:sz w:val="20"/>
              </w:rPr>
              <w:t>11.07.2025r.</w:t>
            </w:r>
          </w:p>
        </w:tc>
      </w:tr>
    </w:tbl>
    <w:p w:rsidR="00A77B3E">
      <w:pPr>
        <w:spacing w:before="0" w:after="0"/>
        <w:rPr>
          <w:rFonts w:ascii="Times New Roman" w:eastAsia="Times New Roman" w:hAnsi="Times New Roman" w:cs="Times New Roman"/>
          <w:b w:val="0"/>
          <w:i w:val="0"/>
          <w:caps w:val="0"/>
          <w:strike w:val="0"/>
          <w:color w:val="000000"/>
          <w:sz w:val="22"/>
          <w:u w:val="none" w:color="000000"/>
          <w:vertAlign w:val="baseline"/>
        </w:rPr>
      </w:pPr>
    </w:p>
    <w:sectPr>
      <w:footerReference w:type="default" r:id="rId5"/>
      <w:endnotePr>
        <w:numFmt w:val="decimal"/>
      </w:endnotePr>
      <w:type w:val="nextPage"/>
      <w:pgSz w:w="16838" w:h="11906" w:orient="landscape"/>
      <w:pgMar w:top="992" w:right="1020" w:bottom="992" w:left="102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6577"/>
      <w:gridCol w:w="3289"/>
    </w:tblGrid>
    <w:tr>
      <w:tblPrEx>
        <w:tblW w:w="5000" w:type="pct"/>
      </w:tblPrEx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108" w:type="dxa"/>
            <w:bottom w:w="0" w:type="dxa"/>
            <w:right w:w="108" w:type="dxa"/>
          </w:tcMar>
          <w:textDirection w:val="lrTb"/>
          <w:vAlign w:val="top"/>
          <w:hideMark/>
        </w:tcPr>
        <w:p>
          <w:pPr>
            <w:jc w:val="left"/>
            <w:rPr>
              <w:rFonts w:ascii="Times New Roman" w:eastAsia="Times New Roman" w:hAnsi="Times New Roman" w:cs="Times New Roman"/>
              <w:b w:val="0"/>
              <w:sz w:val="18"/>
            </w:rPr>
          </w:pPr>
          <w:r>
            <w:rPr>
              <w:rFonts w:ascii="Times New Roman" w:eastAsia="Times New Roman" w:hAnsi="Times New Roman" w:cs="Times New Roman"/>
              <w:b w:val="0"/>
              <w:sz w:val="18"/>
            </w:rPr>
            <w:t>Id: B0F14643-F66E-49BC-9146-0FFFA2265056. Podpisany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108" w:type="dxa"/>
            <w:bottom w:w="0" w:type="dxa"/>
            <w:right w:w="108" w:type="dxa"/>
          </w:tcMar>
          <w:textDirection w:val="lrTb"/>
          <w:vAlign w:val="top"/>
          <w:hideMark/>
        </w:tcPr>
        <w:p>
          <w:pPr>
            <w:jc w:val="right"/>
            <w:rPr>
              <w:rFonts w:ascii="Times New Roman" w:eastAsia="Times New Roman" w:hAnsi="Times New Roman" w:cs="Times New Roman"/>
              <w:b w:val="0"/>
              <w:sz w:val="18"/>
            </w:rPr>
          </w:pPr>
          <w:r>
            <w:rPr>
              <w:rFonts w:ascii="Times New Roman" w:eastAsia="Times New Roman" w:hAnsi="Times New Roman" w:cs="Times New Roman"/>
              <w:b w:val="0"/>
              <w:sz w:val="18"/>
            </w:rPr>
            <w:t xml:space="preserve">Strona </w:t>
          </w:r>
          <w:r>
            <w:rPr>
              <w:rFonts w:ascii="Times New Roman" w:eastAsia="Times New Roman" w:hAnsi="Times New Roman" w:cs="Times New Roman"/>
              <w:b w:val="0"/>
              <w:sz w:val="18"/>
            </w:rPr>
            <w:fldChar w:fldCharType="begin"/>
          </w:r>
          <w:r>
            <w:rPr>
              <w:rFonts w:ascii="Times New Roman" w:eastAsia="Times New Roman" w:hAnsi="Times New Roman" w:cs="Times New Roman"/>
              <w:b w:val="0"/>
              <w:sz w:val="18"/>
            </w:rPr>
            <w:instrText>PAGE</w:instrText>
          </w:r>
          <w:r>
            <w:rPr>
              <w:rFonts w:ascii="Times New Roman" w:eastAsia="Times New Roman" w:hAnsi="Times New Roman" w:cs="Times New Roman"/>
              <w:b w:val="0"/>
              <w:sz w:val="18"/>
            </w:rPr>
            <w:fldChar w:fldCharType="separate"/>
          </w:r>
          <w:r>
            <w:rPr>
              <w:rFonts w:ascii="Times New Roman" w:eastAsia="Times New Roman" w:hAnsi="Times New Roman" w:cs="Times New Roman"/>
              <w:b w:val="0"/>
              <w:sz w:val="18"/>
            </w:rPr>
            <w:fldChar w:fldCharType="end"/>
          </w:r>
        </w:p>
      </w:tc>
    </w:tr>
  </w:tbl>
  <w:p>
    <w:pPr>
      <w:rPr>
        <w:rFonts w:ascii="Times New Roman" w:eastAsia="Times New Roman" w:hAnsi="Times New Roman" w:cs="Times New Roman"/>
        <w:b w:val="0"/>
        <w:sz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865"/>
      <w:gridCol w:w="4933"/>
    </w:tblGrid>
    <w:tr>
      <w:tblPrEx>
        <w:tblW w:w="5000" w:type="pct"/>
      </w:tblPrEx>
      <w:tc>
        <w:tcPr>
          <w:tcW w:w="9865" w:type="dxa"/>
          <w:tcBorders>
            <w:top w:val="single" w:sz="2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108" w:type="dxa"/>
            <w:bottom w:w="0" w:type="dxa"/>
            <w:right w:w="108" w:type="dxa"/>
          </w:tcMar>
          <w:textDirection w:val="lrTb"/>
          <w:vAlign w:val="top"/>
          <w:hideMark/>
        </w:tcPr>
        <w:p>
          <w:pPr>
            <w:jc w:val="left"/>
            <w:rPr>
              <w:rFonts w:ascii="Times New Roman" w:eastAsia="Times New Roman" w:hAnsi="Times New Roman" w:cs="Times New Roman"/>
              <w:b w:val="0"/>
              <w:sz w:val="18"/>
            </w:rPr>
          </w:pPr>
          <w:r>
            <w:rPr>
              <w:rFonts w:ascii="Times New Roman" w:eastAsia="Times New Roman" w:hAnsi="Times New Roman" w:cs="Times New Roman"/>
              <w:b w:val="0"/>
              <w:sz w:val="18"/>
            </w:rPr>
            <w:t>Id: B0F14643-F66E-49BC-9146-0FFFA2265056. Podpisany</w:t>
          </w:r>
        </w:p>
      </w:tc>
      <w:tc>
        <w:tcPr>
          <w:tcW w:w="4933" w:type="dxa"/>
          <w:tcBorders>
            <w:top w:val="single" w:sz="2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108" w:type="dxa"/>
            <w:bottom w:w="0" w:type="dxa"/>
            <w:right w:w="108" w:type="dxa"/>
          </w:tcMar>
          <w:textDirection w:val="lrTb"/>
          <w:vAlign w:val="top"/>
          <w:hideMark/>
        </w:tcPr>
        <w:p>
          <w:pPr>
            <w:jc w:val="right"/>
            <w:rPr>
              <w:rFonts w:ascii="Times New Roman" w:eastAsia="Times New Roman" w:hAnsi="Times New Roman" w:cs="Times New Roman"/>
              <w:b w:val="0"/>
              <w:sz w:val="18"/>
            </w:rPr>
          </w:pPr>
          <w:r>
            <w:rPr>
              <w:rFonts w:ascii="Times New Roman" w:eastAsia="Times New Roman" w:hAnsi="Times New Roman" w:cs="Times New Roman"/>
              <w:b w:val="0"/>
              <w:sz w:val="18"/>
            </w:rPr>
            <w:t xml:space="preserve">Strona </w:t>
          </w:r>
          <w:r>
            <w:rPr>
              <w:rFonts w:ascii="Times New Roman" w:eastAsia="Times New Roman" w:hAnsi="Times New Roman" w:cs="Times New Roman"/>
              <w:b w:val="0"/>
              <w:sz w:val="18"/>
            </w:rPr>
            <w:fldChar w:fldCharType="begin"/>
          </w:r>
          <w:r>
            <w:rPr>
              <w:rFonts w:ascii="Times New Roman" w:eastAsia="Times New Roman" w:hAnsi="Times New Roman" w:cs="Times New Roman"/>
              <w:b w:val="0"/>
              <w:sz w:val="18"/>
            </w:rPr>
            <w:instrText>PAGE</w:instrText>
          </w:r>
          <w:r>
            <w:rPr>
              <w:rFonts w:ascii="Times New Roman" w:eastAsia="Times New Roman" w:hAnsi="Times New Roman" w:cs="Times New Roman"/>
              <w:b w:val="0"/>
              <w:sz w:val="18"/>
            </w:rPr>
            <w:fldChar w:fldCharType="separate"/>
          </w:r>
          <w:r>
            <w:rPr>
              <w:rFonts w:ascii="Times New Roman" w:eastAsia="Times New Roman" w:hAnsi="Times New Roman" w:cs="Times New Roman"/>
              <w:b w:val="0"/>
              <w:sz w:val="18"/>
            </w:rPr>
            <w:fldChar w:fldCharType="end"/>
          </w:r>
        </w:p>
      </w:tc>
    </w:tr>
  </w:tbl>
  <w:p>
    <w:pPr>
      <w:rPr>
        <w:rFonts w:ascii="Times New Roman" w:eastAsia="Times New Roman" w:hAnsi="Times New Roman" w:cs="Times New Roman"/>
        <w:b w:val="0"/>
        <w:sz w:val="1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endnotePr>
    <w:numFmt w:val="decimal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jc w:val="both"/>
    </w:pPr>
    <w:rPr>
      <w:rFonts w:ascii="Times New Roman" w:eastAsia="Times New Roman" w:hAnsi="Times New Roman" w:cs="Times New Roman"/>
      <w:sz w:val="22"/>
      <w:szCs w:val="24"/>
      <w:lang w:val="pl-PL" w:eastAsia="pl-PL" w:bidi="pl-PL"/>
    </w:rPr>
  </w:style>
  <w:style w:type="character" w:default="1" w:styleId="DefaultParagraphFont">
    <w:name w:val="Default Paragraph Font"/>
    <w:semiHidden/>
    <w:rPr>
      <w:lang w:val="pl-PL" w:eastAsia="pl-PL" w:bidi="pl-PL"/>
    </w:rPr>
  </w:style>
  <w:style w:type="table" w:default="1" w:styleId="TableNormal">
    <w:name w:val="Normal Table"/>
    <w:semiHidden/>
    <w:rPr>
      <w:lang w:val="pl-PL" w:eastAsia="pl-PL" w:bidi="pl-P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Grębocice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137.2025 z dnia 30 maja 2025 r.</dc:title>
  <dc:subject>w sprawie ogłoszenia wykazu nieruchomości przeznaczonych do zbycia w^trybie bezprzetargowym</dc:subject>
  <dc:creator>MSmolinska</dc:creator>
  <cp:lastModifiedBy>MSmolinska</cp:lastModifiedBy>
  <cp:revision>1</cp:revision>
  <dcterms:created xsi:type="dcterms:W3CDTF">2025-05-30T10:38:54Z</dcterms:created>
  <dcterms:modified xsi:type="dcterms:W3CDTF">2025-05-30T10:38:54Z</dcterms:modified>
  <cp:category>Akt prawny</cp:category>
</cp:coreProperties>
</file>